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05" w:rsidRDefault="00FF6964" w:rsidP="00FE2005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1pt;width:72.4pt;height:66.6pt;z-index:251658240">
            <v:imagedata r:id="rId5" o:title=""/>
            <w10:wrap anchorx="page"/>
          </v:shape>
          <o:OLEObject Type="Embed" ProgID="PBrush" ShapeID="_x0000_s1026" DrawAspect="Content" ObjectID="_1658902795" r:id="rId6"/>
        </w:object>
      </w:r>
      <w:r w:rsidR="00FE2005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</w:t>
      </w:r>
      <w:r w:rsidR="00B060CD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           </w:t>
      </w:r>
      <w:r w:rsidR="00FE2005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Қ</w:t>
      </w:r>
      <w:r w:rsidR="00FE2005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А Р О Р И                                                                      ПОСТАНОВЛЕНИЕ </w:t>
      </w:r>
    </w:p>
    <w:p w:rsidR="00FE2005" w:rsidRDefault="00FE2005" w:rsidP="00FE2005">
      <w:pPr>
        <w:spacing w:after="0" w:line="264" w:lineRule="auto"/>
        <w:ind w:left="-1134" w:firstLine="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FE2005" w:rsidRDefault="00FE2005" w:rsidP="00FE2005">
      <w:pPr>
        <w:spacing w:after="0" w:line="264" w:lineRule="auto"/>
        <w:ind w:left="-1134" w:right="-569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FE2005" w:rsidRDefault="00FE2005" w:rsidP="00FE2005">
      <w:pPr>
        <w:spacing w:after="0" w:line="264" w:lineRule="auto"/>
        <w:ind w:left="-1080"/>
        <w:rPr>
          <w:rFonts w:ascii="Times New Roman Tajik 1.0" w:hAnsi="Times New Roman Tajik 1.0" w:cs="Times New Roman Tajik 1.0"/>
          <w:b/>
          <w:bCs/>
          <w:color w:val="000000"/>
          <w:sz w:val="1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</w:t>
      </w:r>
      <w:r w:rsidR="00FF6964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FF6964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Ҳ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УРИИ</w:t>
      </w:r>
      <w:r w:rsidR="00B6148B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ТО</w:t>
      </w:r>
      <w:r w:rsidR="00FF6964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ИКИСТОН                                         РЕСПУБЛИКИ ТАДЖИКИСТАН</w:t>
      </w:r>
    </w:p>
    <w:p w:rsidR="00FE2005" w:rsidRDefault="00FE2005" w:rsidP="00FE2005">
      <w:pPr>
        <w:pBdr>
          <w:bottom w:val="single" w:sz="12" w:space="2" w:color="auto"/>
        </w:pBdr>
        <w:spacing w:after="0" w:line="240" w:lineRule="auto"/>
        <w:ind w:left="-540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</w:p>
    <w:p w:rsidR="00FE2005" w:rsidRPr="00430C6B" w:rsidRDefault="00FE2005" w:rsidP="00FE2005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</w:p>
    <w:p w:rsidR="00FE2005" w:rsidRPr="008329D2" w:rsidRDefault="00FE2005" w:rsidP="00FE2005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FE2005" w:rsidRPr="006B210B" w:rsidRDefault="00FE2005" w:rsidP="00FE2005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 w:rsidRPr="006B210B"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 w:rsidRPr="006B210B"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 w:rsidRPr="006B210B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 w:rsidRPr="006B210B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FE2005" w:rsidRPr="008329D2" w:rsidRDefault="00FE2005" w:rsidP="00FE2005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FE2005" w:rsidRPr="006B210B" w:rsidRDefault="00FE2005" w:rsidP="00FE2005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 w:rsidRPr="006B210B"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 w:rsidRPr="006B210B"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 w:rsidRPr="006B210B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 w:rsidRPr="006B210B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FE2005" w:rsidRPr="00201061" w:rsidRDefault="00FE2005" w:rsidP="00FE2005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Дар </w:t>
      </w: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бораи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тасди</w:t>
      </w:r>
      <w:r w:rsidR="00FF6964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Дастурамал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оид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ба</w:t>
      </w:r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пешбар</w:t>
      </w:r>
      <w:r w:rsidR="00FF6964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ва</w:t>
      </w:r>
      <w:proofErr w:type="spellEnd"/>
    </w:p>
    <w:p w:rsidR="00FE2005" w:rsidRPr="00201061" w:rsidRDefault="00B060CD" w:rsidP="00FE2005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ба</w:t>
      </w:r>
      <w:r w:rsidR="00FF6964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айдгирии</w:t>
      </w:r>
      <w:proofErr w:type="spellEnd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номзад</w:t>
      </w:r>
      <w:r w:rsidR="00FF6964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</w:t>
      </w:r>
      <w:proofErr w:type="spellEnd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ба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мансаби</w:t>
      </w:r>
      <w:proofErr w:type="spellEnd"/>
      <w:r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</w:p>
    <w:p w:rsidR="00FE2005" w:rsidRPr="00201061" w:rsidRDefault="00FF6964" w:rsidP="00FE2005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bookmarkStart w:id="0" w:name="_GoBack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bookmarkEnd w:id="0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ва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шахсони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боэътимоди</w:t>
      </w:r>
      <w:proofErr w:type="spellEnd"/>
      <w:r w:rsidR="00B060CD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он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 w:rsidR="00FE2005" w:rsidRPr="00201061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</w:t>
      </w:r>
      <w:proofErr w:type="spellEnd"/>
    </w:p>
    <w:p w:rsidR="00FE2005" w:rsidRPr="00201061" w:rsidRDefault="00FE2005" w:rsidP="00FE2005">
      <w:pPr>
        <w:spacing w:after="0" w:line="276" w:lineRule="auto"/>
        <w:jc w:val="center"/>
        <w:rPr>
          <w:rFonts w:ascii="Times New Roman Tj" w:eastAsiaTheme="minorHAnsi" w:hAnsi="Times New Roman Tj" w:cstheme="minorBidi"/>
          <w:b/>
          <w:sz w:val="28"/>
          <w:szCs w:val="28"/>
        </w:rPr>
      </w:pPr>
    </w:p>
    <w:p w:rsidR="00FE2005" w:rsidRPr="00201061" w:rsidRDefault="00FE2005" w:rsidP="00A97197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Мувофи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модда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ои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F01E52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12, 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24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25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онуни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конститутсионии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«Дар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бораи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» 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бо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ма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сади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таъмини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у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у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интихоботии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ша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рвандон</w:t>
      </w:r>
      <w:proofErr w:type="spellEnd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,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у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у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ои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субъект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о</w:t>
      </w:r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е</w:t>
      </w:r>
      <w:proofErr w:type="spellEnd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,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ки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ба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мансаби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87455B" w:rsidRPr="00201061">
        <w:rPr>
          <w:rFonts w:ascii="Times New Roman Tj" w:eastAsiaTheme="minorHAnsi" w:hAnsi="Times New Roman Tj" w:cstheme="minorBidi"/>
          <w:sz w:val="28"/>
          <w:szCs w:val="28"/>
        </w:rPr>
        <w:t>номзад</w:t>
      </w:r>
      <w:proofErr w:type="spellEnd"/>
      <w:r w:rsidR="0087455B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пешбар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ӣ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A92D94" w:rsidRPr="00201061">
        <w:rPr>
          <w:rFonts w:ascii="Times New Roman Tj" w:eastAsiaTheme="minorHAnsi" w:hAnsi="Times New Roman Tj" w:cstheme="minorBidi"/>
          <w:sz w:val="28"/>
          <w:szCs w:val="28"/>
        </w:rPr>
        <w:t>мекунанд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="00B060CD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ташкили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шароити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баробар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и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ати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ба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айдгирии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номзад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мансаби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шахсони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боэътимоди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он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 w:rsidR="00F34B23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дар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раъйпурс</w:t>
      </w:r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>ии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арор</w:t>
      </w:r>
      <w:proofErr w:type="spellEnd"/>
      <w:r w:rsidR="007D172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мекунад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>:</w:t>
      </w:r>
    </w:p>
    <w:p w:rsidR="00FE2005" w:rsidRPr="00201061" w:rsidRDefault="00F34B23" w:rsidP="00392F68">
      <w:pPr>
        <w:spacing w:after="200"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Дастурамал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оид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пешбар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ӣ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ба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айдгирии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номзад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мансаби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шахсони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боэътимоди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он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тасди</w:t>
      </w:r>
      <w:r w:rsidR="00FF6964">
        <w:rPr>
          <w:rFonts w:ascii="Times New Roman Tj" w:eastAsiaTheme="minorHAnsi" w:hAnsi="Times New Roman Tj" w:cstheme="minorBidi"/>
          <w:sz w:val="28"/>
          <w:szCs w:val="28"/>
        </w:rPr>
        <w:t>қ</w:t>
      </w:r>
      <w:proofErr w:type="spellEnd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карда 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шавад</w:t>
      </w:r>
      <w:proofErr w:type="spellEnd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(</w:t>
      </w:r>
      <w:proofErr w:type="spellStart"/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з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амима</w:t>
      </w:r>
      <w:proofErr w:type="spellEnd"/>
      <w:r w:rsidR="00A97197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ме</w:t>
      </w:r>
      <w:r w:rsidR="003409AC" w:rsidRPr="00201061">
        <w:rPr>
          <w:rFonts w:ascii="Times New Roman Tj" w:eastAsiaTheme="minorHAnsi" w:hAnsi="Times New Roman Tj" w:cstheme="minorBidi"/>
          <w:sz w:val="28"/>
          <w:szCs w:val="28"/>
        </w:rPr>
        <w:t>гард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ад</w:t>
      </w:r>
      <w:proofErr w:type="spellEnd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).</w:t>
      </w:r>
    </w:p>
    <w:p w:rsidR="00FE2005" w:rsidRPr="00201061" w:rsidRDefault="00FE2005" w:rsidP="00FE2005">
      <w:pPr>
        <w:spacing w:after="200"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FE2005" w:rsidRPr="00201061" w:rsidRDefault="00FE2005" w:rsidP="00FE2005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FE2005" w:rsidRPr="00201061" w:rsidRDefault="00FE2005" w:rsidP="00FE2005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FE2005" w:rsidRPr="00201061" w:rsidRDefault="00FE2005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Раиси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FE2005" w:rsidRPr="00201061" w:rsidRDefault="008B2794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FE2005" w:rsidRPr="00201061" w:rsidRDefault="00FF6964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Б</w:t>
      </w:r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>.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Худоёрзода</w:t>
      </w:r>
      <w:proofErr w:type="spellEnd"/>
    </w:p>
    <w:p w:rsidR="00FE2005" w:rsidRPr="00201061" w:rsidRDefault="00FE2005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FE2005" w:rsidRPr="00201061" w:rsidRDefault="00FE2005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Котиби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FE2005" w:rsidRPr="00201061" w:rsidRDefault="008B2794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201061"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FE2005" w:rsidRPr="00201061" w:rsidRDefault="00FF6964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8B2794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  </w:t>
      </w:r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Н.</w:t>
      </w:r>
      <w:r w:rsidR="008E0CF5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FE2005" w:rsidRPr="00201061">
        <w:rPr>
          <w:rFonts w:ascii="Times New Roman Tj" w:eastAsiaTheme="minorHAnsi" w:hAnsi="Times New Roman Tj" w:cstheme="minorBidi"/>
          <w:sz w:val="28"/>
          <w:szCs w:val="28"/>
        </w:rPr>
        <w:t>Самадзода</w:t>
      </w:r>
      <w:proofErr w:type="spellEnd"/>
    </w:p>
    <w:p w:rsidR="00FE2005" w:rsidRPr="00201061" w:rsidRDefault="00FE2005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FE2005" w:rsidRPr="00201061" w:rsidRDefault="00FE2005" w:rsidP="00A97197">
      <w:pPr>
        <w:spacing w:after="200" w:line="276" w:lineRule="auto"/>
        <w:ind w:left="709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r w:rsidRPr="00201061">
        <w:rPr>
          <w:rFonts w:ascii="Times New Roman Tj" w:eastAsiaTheme="minorHAnsi" w:hAnsi="Times New Roman Tj" w:cstheme="minorBidi"/>
          <w:sz w:val="28"/>
          <w:szCs w:val="28"/>
        </w:rPr>
        <w:t>ш.</w:t>
      </w:r>
      <w:r w:rsidR="00A97197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Душанбе, </w:t>
      </w:r>
      <w:r w:rsidR="00392F68" w:rsidRPr="00201061">
        <w:rPr>
          <w:rFonts w:ascii="Times New Roman Tj" w:eastAsiaTheme="minorHAnsi" w:hAnsi="Times New Roman Tj" w:cstheme="minorBidi"/>
          <w:sz w:val="28"/>
          <w:szCs w:val="28"/>
        </w:rPr>
        <w:t>19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392F68" w:rsidRPr="00201061">
        <w:rPr>
          <w:rFonts w:ascii="Times New Roman Tj" w:eastAsiaTheme="minorHAnsi" w:hAnsi="Times New Roman Tj" w:cstheme="minorBidi"/>
          <w:sz w:val="28"/>
          <w:szCs w:val="28"/>
        </w:rPr>
        <w:t>июни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F01E52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соли 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2020,</w:t>
      </w:r>
      <w:r w:rsidR="00F01E52"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>№</w:t>
      </w:r>
      <w:r w:rsidR="00392F68" w:rsidRPr="00201061">
        <w:rPr>
          <w:rFonts w:ascii="Times New Roman Tj" w:eastAsiaTheme="minorHAnsi" w:hAnsi="Times New Roman Tj" w:cstheme="minorBidi"/>
          <w:sz w:val="28"/>
          <w:szCs w:val="28"/>
        </w:rPr>
        <w:t>88</w:t>
      </w:r>
      <w:r w:rsidRPr="00201061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</w:t>
      </w:r>
    </w:p>
    <w:p w:rsidR="00FE2005" w:rsidRPr="00A041AD" w:rsidRDefault="00FE2005" w:rsidP="00FE2005">
      <w:pPr>
        <w:spacing w:after="200" w:line="276" w:lineRule="auto"/>
        <w:jc w:val="center"/>
        <w:rPr>
          <w:rFonts w:ascii="Times New Roman Tj" w:eastAsiaTheme="minorHAnsi" w:hAnsi="Times New Roman Tj" w:cstheme="minorBidi"/>
          <w:sz w:val="28"/>
          <w:szCs w:val="28"/>
        </w:rPr>
      </w:pPr>
    </w:p>
    <w:p w:rsidR="00FE2005" w:rsidRPr="00A041AD" w:rsidRDefault="00FE2005" w:rsidP="00FE2005">
      <w:pPr>
        <w:spacing w:after="200" w:line="276" w:lineRule="auto"/>
        <w:jc w:val="center"/>
        <w:rPr>
          <w:rFonts w:ascii="Times New Roman Tj" w:eastAsiaTheme="minorHAnsi" w:hAnsi="Times New Roman Tj" w:cstheme="minorBidi"/>
          <w:b/>
          <w:sz w:val="28"/>
          <w:szCs w:val="28"/>
        </w:rPr>
      </w:pPr>
    </w:p>
    <w:p w:rsidR="00C978E3" w:rsidRDefault="00C978E3"/>
    <w:sectPr w:rsidR="00C978E3" w:rsidSect="00CB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BF8"/>
    <w:multiLevelType w:val="hybridMultilevel"/>
    <w:tmpl w:val="DD64E5CE"/>
    <w:lvl w:ilvl="0" w:tplc="C5A01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Y0MTcytTQ1NzNV0lEKTi0uzszPAykwrAUAveZ/fCwAAAA="/>
  </w:docVars>
  <w:rsids>
    <w:rsidRoot w:val="003D7524"/>
    <w:rsid w:val="001703A9"/>
    <w:rsid w:val="00201061"/>
    <w:rsid w:val="003409AC"/>
    <w:rsid w:val="00355E1C"/>
    <w:rsid w:val="00392F68"/>
    <w:rsid w:val="003D7524"/>
    <w:rsid w:val="004F7259"/>
    <w:rsid w:val="007552EF"/>
    <w:rsid w:val="007D1724"/>
    <w:rsid w:val="008210F6"/>
    <w:rsid w:val="0087455B"/>
    <w:rsid w:val="008B2794"/>
    <w:rsid w:val="008E0CF5"/>
    <w:rsid w:val="00945ED2"/>
    <w:rsid w:val="00A92D94"/>
    <w:rsid w:val="00A97197"/>
    <w:rsid w:val="00AD23D0"/>
    <w:rsid w:val="00AE101B"/>
    <w:rsid w:val="00B060CD"/>
    <w:rsid w:val="00B51B92"/>
    <w:rsid w:val="00B6148B"/>
    <w:rsid w:val="00BF7C8D"/>
    <w:rsid w:val="00C34917"/>
    <w:rsid w:val="00C978E3"/>
    <w:rsid w:val="00CB42BC"/>
    <w:rsid w:val="00DA5F5A"/>
    <w:rsid w:val="00F01E52"/>
    <w:rsid w:val="00F34B23"/>
    <w:rsid w:val="00F97C87"/>
    <w:rsid w:val="00FA1EFC"/>
    <w:rsid w:val="00FE2005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9D359D-714A-4014-B637-B961D5F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0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Aminjon Hasanov</cp:lastModifiedBy>
  <cp:revision>13</cp:revision>
  <cp:lastPrinted>2020-06-19T08:44:00Z</cp:lastPrinted>
  <dcterms:created xsi:type="dcterms:W3CDTF">2020-05-26T04:51:00Z</dcterms:created>
  <dcterms:modified xsi:type="dcterms:W3CDTF">2020-08-14T04:33:00Z</dcterms:modified>
</cp:coreProperties>
</file>