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51" w:rsidRDefault="00B01E51" w:rsidP="00B01E51">
      <w:pPr>
        <w:spacing w:after="0" w:line="240" w:lineRule="auto"/>
        <w:ind w:left="4956"/>
        <w:jc w:val="center"/>
        <w:rPr>
          <w:rFonts w:ascii="Times New Roman Tj" w:hAnsi="Times New Roman Tj"/>
          <w:spacing w:val="2"/>
          <w:sz w:val="28"/>
          <w:szCs w:val="28"/>
          <w:lang w:val="tg-Cyrl-TJ"/>
        </w:rPr>
      </w:pPr>
      <w:r>
        <w:rPr>
          <w:rFonts w:ascii="Times New Roman Tj" w:hAnsi="Times New Roman Tj"/>
          <w:spacing w:val="2"/>
          <w:sz w:val="28"/>
          <w:szCs w:val="28"/>
          <w:lang w:val="tg-Cyrl-TJ"/>
        </w:rPr>
        <w:t>Утвержден постановлением</w:t>
      </w:r>
    </w:p>
    <w:p w:rsidR="00B01E51" w:rsidRDefault="00B01E51" w:rsidP="00B01E51">
      <w:pPr>
        <w:spacing w:after="0" w:line="240" w:lineRule="auto"/>
        <w:ind w:left="4956"/>
        <w:jc w:val="center"/>
        <w:rPr>
          <w:rFonts w:ascii="Times New Roman Tj" w:hAnsi="Times New Roman Tj"/>
          <w:spacing w:val="2"/>
          <w:sz w:val="28"/>
          <w:szCs w:val="28"/>
          <w:lang w:val="tg-Cyrl-TJ"/>
        </w:rPr>
      </w:pPr>
      <w:r>
        <w:rPr>
          <w:rFonts w:ascii="Times New Roman Tj" w:hAnsi="Times New Roman Tj"/>
          <w:spacing w:val="2"/>
          <w:sz w:val="28"/>
          <w:szCs w:val="28"/>
          <w:lang w:val="tg-Cyrl-TJ"/>
        </w:rPr>
        <w:t>Центральной комиссии по</w:t>
      </w:r>
    </w:p>
    <w:p w:rsidR="00B01E51" w:rsidRDefault="00B01E51" w:rsidP="00B01E51">
      <w:pPr>
        <w:spacing w:after="0" w:line="240" w:lineRule="auto"/>
        <w:ind w:left="4956"/>
        <w:jc w:val="center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  <w:lang w:val="tg-Cyrl-TJ"/>
        </w:rPr>
        <w:t>выборам и референдумам</w:t>
      </w:r>
    </w:p>
    <w:p w:rsidR="00B01E51" w:rsidRDefault="00B01E51" w:rsidP="00B01E51">
      <w:pPr>
        <w:spacing w:after="0" w:line="240" w:lineRule="auto"/>
        <w:ind w:left="4956" w:right="-284"/>
        <w:jc w:val="center"/>
        <w:rPr>
          <w:rFonts w:ascii="Times New Roman Tj" w:hAnsi="Times New Roman Tj"/>
          <w:spacing w:val="2"/>
          <w:sz w:val="28"/>
          <w:szCs w:val="28"/>
          <w:lang w:val="tg-Cyrl-TJ"/>
        </w:rPr>
      </w:pPr>
      <w:r>
        <w:rPr>
          <w:rFonts w:ascii="Times New Roman Tj" w:hAnsi="Times New Roman Tj"/>
          <w:spacing w:val="2"/>
          <w:sz w:val="28"/>
          <w:szCs w:val="28"/>
          <w:lang w:val="tg-Cyrl-TJ"/>
        </w:rPr>
        <w:t xml:space="preserve">Республики Таджикистан </w:t>
      </w:r>
    </w:p>
    <w:p w:rsidR="00B01E51" w:rsidRDefault="00B01E51" w:rsidP="00B01E51">
      <w:pPr>
        <w:spacing w:after="0" w:line="240" w:lineRule="auto"/>
        <w:ind w:left="4956" w:right="-284"/>
        <w:jc w:val="center"/>
        <w:rPr>
          <w:rFonts w:ascii="Times New Roman Tj" w:hAnsi="Times New Roman Tj"/>
          <w:spacing w:val="2"/>
          <w:sz w:val="24"/>
          <w:szCs w:val="24"/>
          <w:lang w:val="tg-Cyrl-TJ"/>
        </w:rPr>
      </w:pPr>
      <w:r>
        <w:rPr>
          <w:rFonts w:ascii="Times New Roman Tj" w:hAnsi="Times New Roman Tj"/>
          <w:spacing w:val="2"/>
          <w:sz w:val="28"/>
          <w:szCs w:val="28"/>
          <w:lang w:val="tg-Cyrl-TJ"/>
        </w:rPr>
        <w:t xml:space="preserve">от 21 </w:t>
      </w:r>
      <w:r>
        <w:rPr>
          <w:rFonts w:ascii="Times New Roman Tj" w:hAnsi="Times New Roman Tj"/>
          <w:spacing w:val="2"/>
          <w:sz w:val="28"/>
          <w:szCs w:val="28"/>
        </w:rPr>
        <w:t>декабря</w:t>
      </w:r>
      <w:r>
        <w:rPr>
          <w:rFonts w:ascii="Times New Roman Tj" w:hAnsi="Times New Roman Tj"/>
          <w:spacing w:val="2"/>
          <w:sz w:val="28"/>
          <w:szCs w:val="28"/>
          <w:lang w:val="tg-Cyrl-TJ"/>
        </w:rPr>
        <w:t xml:space="preserve"> 2024 года, № 34</w:t>
      </w:r>
    </w:p>
    <w:p w:rsidR="00B01E51" w:rsidRDefault="00B01E51" w:rsidP="00B01E51">
      <w:pPr>
        <w:spacing w:after="0" w:line="240" w:lineRule="auto"/>
        <w:ind w:left="3544" w:firstLine="284"/>
        <w:jc w:val="both"/>
        <w:rPr>
          <w:rFonts w:ascii="Times New Roman Tj" w:eastAsia="MS Mincho" w:hAnsi="Times New Roman Tj" w:cs="Times New Roman Tj"/>
          <w:bCs/>
          <w:spacing w:val="2"/>
          <w:sz w:val="24"/>
          <w:szCs w:val="24"/>
          <w:lang w:val="tg-Cyrl-TJ"/>
        </w:rPr>
      </w:pPr>
    </w:p>
    <w:p w:rsidR="00B01E51" w:rsidRDefault="00B01E51" w:rsidP="00B01E51">
      <w:pPr>
        <w:spacing w:after="0" w:line="240" w:lineRule="auto"/>
        <w:ind w:left="3544" w:firstLine="284"/>
        <w:jc w:val="both"/>
        <w:rPr>
          <w:rFonts w:ascii="Times New Roman Tj" w:eastAsia="MS Mincho" w:hAnsi="Times New Roman Tj" w:cs="Times New Roman Tj"/>
          <w:bCs/>
          <w:spacing w:val="2"/>
          <w:sz w:val="24"/>
          <w:szCs w:val="24"/>
          <w:lang w:val="tg-Cyrl-TJ"/>
        </w:rPr>
      </w:pPr>
    </w:p>
    <w:p w:rsidR="00B01E51" w:rsidRDefault="00B01E51" w:rsidP="00B01E51">
      <w:pPr>
        <w:spacing w:after="0" w:line="240" w:lineRule="auto"/>
        <w:ind w:firstLine="284"/>
        <w:jc w:val="center"/>
        <w:rPr>
          <w:rFonts w:ascii="Times New Roman Tj" w:hAnsi="Times New Roman Tj"/>
          <w:b/>
          <w:spacing w:val="2"/>
          <w:lang w:val="tg-Cyrl-TJ"/>
        </w:rPr>
      </w:pPr>
    </w:p>
    <w:p w:rsidR="00B01E51" w:rsidRDefault="00B01E51" w:rsidP="00B01E51">
      <w:pPr>
        <w:spacing w:after="0" w:line="240" w:lineRule="auto"/>
        <w:jc w:val="center"/>
        <w:rPr>
          <w:rFonts w:ascii="Times New Roman Tj" w:hAnsi="Times New Roman Tj" w:cs="Times New Roman Tj"/>
          <w:bCs/>
          <w:spacing w:val="2"/>
          <w:sz w:val="28"/>
          <w:szCs w:val="28"/>
          <w:lang w:val="tg-Cyrl-TJ"/>
        </w:rPr>
      </w:pPr>
      <w:r>
        <w:rPr>
          <w:rFonts w:ascii="Times New Roman Tj" w:hAnsi="Times New Roman Tj" w:cs="Times New Roman Tj"/>
          <w:bCs/>
          <w:spacing w:val="2"/>
          <w:sz w:val="28"/>
          <w:szCs w:val="28"/>
          <w:lang w:val="tg-Cyrl-TJ"/>
        </w:rPr>
        <w:t>ПОРЯДОК</w:t>
      </w:r>
    </w:p>
    <w:p w:rsidR="00B01E51" w:rsidRDefault="00B01E51" w:rsidP="00B01E51">
      <w:pPr>
        <w:spacing w:after="0" w:line="240" w:lineRule="auto"/>
        <w:jc w:val="center"/>
        <w:rPr>
          <w:rFonts w:ascii="Times New Roman Tj" w:hAnsi="Times New Roman Tj" w:cs="Times New Roman Tj"/>
          <w:bCs/>
          <w:spacing w:val="2"/>
          <w:sz w:val="28"/>
          <w:szCs w:val="28"/>
          <w:lang w:val="tg-Cyrl-TJ"/>
        </w:rPr>
      </w:pPr>
      <w:r>
        <w:rPr>
          <w:rFonts w:ascii="Times New Roman Tj" w:hAnsi="Times New Roman Tj" w:cs="Times New Roman Tj"/>
          <w:bCs/>
          <w:spacing w:val="2"/>
          <w:sz w:val="28"/>
          <w:szCs w:val="28"/>
          <w:lang w:val="tg-Cyrl-TJ"/>
        </w:rPr>
        <w:t>УЧАСТИЯ МЕЖДУНАРОДНЫХ НАБЛЮДАТЕЛЕЙ</w:t>
      </w:r>
    </w:p>
    <w:p w:rsidR="00B01E51" w:rsidRDefault="00B01E51" w:rsidP="00B01E51">
      <w:pPr>
        <w:spacing w:after="0" w:line="240" w:lineRule="auto"/>
        <w:jc w:val="center"/>
        <w:rPr>
          <w:rFonts w:ascii="Times New Roman Tj" w:hAnsi="Times New Roman Tj" w:cs="Times New Tojik"/>
          <w:bCs/>
          <w:spacing w:val="2"/>
          <w:sz w:val="28"/>
          <w:szCs w:val="28"/>
          <w:lang w:val="tg-Cyrl-TJ"/>
        </w:rPr>
      </w:pPr>
      <w:r>
        <w:rPr>
          <w:rFonts w:ascii="Times New Roman Tj" w:hAnsi="Times New Roman Tj" w:cs="Times New Roman Tj"/>
          <w:bCs/>
          <w:spacing w:val="2"/>
          <w:sz w:val="28"/>
          <w:szCs w:val="28"/>
          <w:lang w:val="tg-Cyrl-TJ"/>
        </w:rPr>
        <w:t>НА ВЫБОРАХ ДЕПУТАТОВ МАДЖЛИСИ НАМОЯНДАГОН МАДЖЛИСИ ОЛИ РЕСПУБЛИКИ ТАДЖИКИСТАН</w:t>
      </w:r>
    </w:p>
    <w:p w:rsidR="00B01E51" w:rsidRDefault="00B01E51" w:rsidP="00B01E51">
      <w:pPr>
        <w:spacing w:after="0" w:line="240" w:lineRule="auto"/>
        <w:ind w:firstLine="397"/>
        <w:jc w:val="both"/>
        <w:rPr>
          <w:rFonts w:ascii="Times New Roman Tj" w:hAnsi="Times New Roman Tj" w:cs="Times New Roman Tj"/>
          <w:b/>
          <w:bCs/>
          <w:spacing w:val="2"/>
          <w:sz w:val="28"/>
          <w:szCs w:val="28"/>
          <w:lang w:val="tg-Cyrl-TJ"/>
        </w:rPr>
      </w:pPr>
    </w:p>
    <w:p w:rsidR="00B01E51" w:rsidRDefault="00B01E51" w:rsidP="00B01E51">
      <w:pPr>
        <w:spacing w:after="0" w:line="240" w:lineRule="auto"/>
        <w:ind w:firstLine="397"/>
        <w:jc w:val="both"/>
        <w:rPr>
          <w:rFonts w:ascii="Times New Roman Tj" w:hAnsi="Times New Roman Tj" w:cs="Times New Roman Tj"/>
          <w:b/>
          <w:bCs/>
          <w:spacing w:val="2"/>
          <w:sz w:val="12"/>
          <w:szCs w:val="12"/>
          <w:lang w:val="tg-Cyrl-TJ"/>
        </w:rPr>
      </w:pPr>
    </w:p>
    <w:p w:rsidR="00B01E51" w:rsidRDefault="00B01E51" w:rsidP="00B01E51">
      <w:pPr>
        <w:spacing w:after="0" w:line="240" w:lineRule="auto"/>
        <w:jc w:val="center"/>
        <w:rPr>
          <w:rFonts w:ascii="Times New Roman Tj" w:hAnsi="Times New Roman Tj" w:cs="Times New Roman Tj"/>
          <w:b/>
          <w:bCs/>
          <w:spacing w:val="2"/>
          <w:sz w:val="28"/>
          <w:szCs w:val="28"/>
          <w:lang w:val="tg-Cyrl-TJ"/>
        </w:rPr>
      </w:pPr>
      <w:r>
        <w:rPr>
          <w:rFonts w:ascii="Times New Roman Tj" w:hAnsi="Times New Roman Tj"/>
          <w:bCs/>
          <w:spacing w:val="2"/>
          <w:sz w:val="28"/>
          <w:szCs w:val="28"/>
          <w:lang w:val="tg-Cyrl-TJ"/>
        </w:rPr>
        <w:t>I.ОБЩИЕ ПОЛОЖЕНИЯ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  <w:lang w:val="tg-Cyrl-TJ"/>
        </w:rPr>
      </w:pPr>
      <w:r>
        <w:rPr>
          <w:rFonts w:ascii="Times New Roman Tj" w:hAnsi="Times New Roman Tj"/>
          <w:spacing w:val="2"/>
          <w:sz w:val="28"/>
          <w:szCs w:val="28"/>
          <w:lang w:val="tg-Cyrl-TJ"/>
        </w:rPr>
        <w:t>1. Порядок участия международных  наблюдателей  на выборах депутатов Маджлиси намояндагон Маджлиси Оли Республики Таджикистан (далее – настоящий Порядок) составлен в соответствии со статьями 8</w:t>
      </w:r>
      <w:r>
        <w:rPr>
          <w:rFonts w:ascii="Times New Roman Tj" w:hAnsi="Times New Roman Tj"/>
          <w:spacing w:val="2"/>
          <w:sz w:val="28"/>
          <w:szCs w:val="28"/>
          <w:vertAlign w:val="superscript"/>
          <w:lang w:val="tg-Cyrl-TJ"/>
        </w:rPr>
        <w:t>2</w:t>
      </w:r>
      <w:r>
        <w:rPr>
          <w:rFonts w:ascii="Times New Roman Tj" w:hAnsi="Times New Roman Tj"/>
          <w:spacing w:val="2"/>
          <w:sz w:val="28"/>
          <w:szCs w:val="28"/>
          <w:lang w:val="tg-Cyrl-TJ"/>
        </w:rPr>
        <w:t xml:space="preserve"> и 12 конституционного Закона Республики Таджикистан «О выборах Маджлиси Оли Республики Таджикистан». Данная норма принята с учетом требований Конвенции «О стандартах демократических выборов, избирательных прав и свобод в государствах – участниках Содружества Независимых Государств», ратифицированной постановлением Маджлиси намояндагон Маджлиси Оли Республики Таджикистан от 8 октября 2003 года, № 918,  Документа Копенгагенского совещания по человеческим измерениям Совета по безопасности и сотрудничеству в Европе (СБСЕ),  принятого 29 июня 1990 года. Она устанавливает порядок участия, статус и полномочия международных наблюдателей на выборах депутатов Маджлиси намояндагон Маджлиси Оли Республики Таджикистан.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  <w:lang w:val="tg-Cyrl-TJ"/>
        </w:rPr>
      </w:pPr>
      <w:r>
        <w:rPr>
          <w:rFonts w:ascii="Times New Roman Tj" w:hAnsi="Times New Roman Tj"/>
          <w:spacing w:val="2"/>
          <w:sz w:val="28"/>
          <w:szCs w:val="28"/>
          <w:lang w:val="tg-Cyrl-TJ"/>
        </w:rPr>
        <w:t>2. Деятельность международных наблюдателей регулируется в соответствии с конституционным Законом  Республики Таджикистан «О выборах Маджлиси Оли Республики Таджикистан», другими нормативными правовыми актами Республики Таджикистан, соответствующими международными актами и настоящим Порядком.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  <w:lang w:val="tg-Cyrl-TJ"/>
        </w:rPr>
      </w:pPr>
      <w:r>
        <w:rPr>
          <w:rFonts w:ascii="Times New Roman Tj" w:hAnsi="Times New Roman Tj"/>
          <w:spacing w:val="2"/>
          <w:sz w:val="28"/>
          <w:szCs w:val="28"/>
          <w:lang w:val="tg-Cyrl-TJ"/>
        </w:rPr>
        <w:t>3. Участие международных наблюдателей способствует открытости и прозрачности проведения выборов.</w:t>
      </w:r>
    </w:p>
    <w:p w:rsidR="00B01E51" w:rsidRDefault="00B01E51" w:rsidP="00B01E51">
      <w:pPr>
        <w:spacing w:after="0" w:line="240" w:lineRule="auto"/>
        <w:ind w:firstLine="397"/>
        <w:jc w:val="both"/>
        <w:rPr>
          <w:rFonts w:ascii="Times New Roman Tj" w:hAnsi="Times New Roman Tj"/>
          <w:spacing w:val="2"/>
          <w:sz w:val="28"/>
          <w:szCs w:val="28"/>
          <w:lang w:val="tg-Cyrl-TJ"/>
        </w:rPr>
      </w:pPr>
    </w:p>
    <w:p w:rsidR="00B01E51" w:rsidRDefault="00B01E51" w:rsidP="00B01E51">
      <w:pPr>
        <w:spacing w:after="0" w:line="240" w:lineRule="auto"/>
        <w:jc w:val="center"/>
        <w:rPr>
          <w:rFonts w:ascii="Times New Roman Tj" w:hAnsi="Times New Roman Tj"/>
          <w:b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II. ПОРЯДОК ПРИГЛАШЕНИЯ И АККРЕДИТАЦИИ МЕЖДУНАРОДНЫХ НАБЛЮДАТЕЛЕЙ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 xml:space="preserve">4. Приглашения относительно участия международных наблюдателей для участия на выборах </w:t>
      </w:r>
      <w:proofErr w:type="spellStart"/>
      <w:r>
        <w:rPr>
          <w:rFonts w:ascii="Times New Roman Tj" w:hAnsi="Times New Roman Tj"/>
          <w:spacing w:val="2"/>
          <w:sz w:val="28"/>
          <w:szCs w:val="28"/>
        </w:rPr>
        <w:t>Маджлиси</w:t>
      </w:r>
      <w:proofErr w:type="spellEnd"/>
      <w:r>
        <w:rPr>
          <w:rFonts w:ascii="Times New Roman Tj" w:hAnsi="Times New Roman Tj"/>
          <w:spacing w:val="2"/>
          <w:sz w:val="28"/>
          <w:szCs w:val="28"/>
        </w:rPr>
        <w:t xml:space="preserve"> Оли Республики Таджикистан высылаются Министерством иностранных дел Республики Таджикистан зарубежным государствам и международным организациям после опубликования Указа Президента Республики Таджикистан о назначении даты выборов. 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lastRenderedPageBreak/>
        <w:t xml:space="preserve">5. Международные наблюдатели в установленном порядке аккредитуются в Центральной комиссии по выборам и референдумам Республики Таджикистан при наличии приглашений. Сроки представления и регистрации заявок об аккредитации международных наблюдателей устанавливаются Центральной комиссии по выборам и референдумам Республики Таджикистан.  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6. К заявке об аккредитации международного наблюдателя прилагаются копия паспорта и анкета, форму которой устанавливает Центральная комиссия по выборам и референдумам Республики Таджикистан.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7. Международным наблюдателям выдается удостоверение образца, установленного Центральной комиссией по выборам и референдумам Республики Таджикистан об их аккредитации. Данное удостоверение даёт право международному наблюдателю осуществлять наблюдение в период подготовки и проведения выборов.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 xml:space="preserve">8. Деятельность международных наблюдателей начинается после аккредитации Центральной комиссией по выборам и референдумам Республики Таджикистан и завершается после объявления предварительных итогов выборов депутатов </w:t>
      </w:r>
      <w:proofErr w:type="spellStart"/>
      <w:r>
        <w:rPr>
          <w:rFonts w:ascii="Times New Roman Tj" w:hAnsi="Times New Roman Tj"/>
          <w:spacing w:val="2"/>
          <w:sz w:val="28"/>
          <w:szCs w:val="28"/>
        </w:rPr>
        <w:t>Маджлиси</w:t>
      </w:r>
      <w:proofErr w:type="spellEnd"/>
      <w:r>
        <w:rPr>
          <w:rFonts w:ascii="Times New Roman Tj" w:hAnsi="Times New Roman Tj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pacing w:val="2"/>
          <w:sz w:val="28"/>
          <w:szCs w:val="28"/>
        </w:rPr>
        <w:t>намояндагон</w:t>
      </w:r>
      <w:proofErr w:type="spellEnd"/>
      <w:r>
        <w:rPr>
          <w:rFonts w:ascii="Times New Roman Tj" w:hAnsi="Times New Roman Tj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pacing w:val="2"/>
          <w:sz w:val="28"/>
          <w:szCs w:val="28"/>
        </w:rPr>
        <w:t>Маджлиси</w:t>
      </w:r>
      <w:proofErr w:type="spellEnd"/>
      <w:r>
        <w:rPr>
          <w:rFonts w:ascii="Times New Roman Tj" w:hAnsi="Times New Roman Tj"/>
          <w:spacing w:val="2"/>
          <w:sz w:val="28"/>
          <w:szCs w:val="28"/>
        </w:rPr>
        <w:t xml:space="preserve"> Оли Республики Таджикистан.</w:t>
      </w:r>
    </w:p>
    <w:p w:rsidR="00B01E51" w:rsidRDefault="00B01E51" w:rsidP="00B01E51">
      <w:pPr>
        <w:spacing w:after="0" w:line="240" w:lineRule="auto"/>
        <w:jc w:val="both"/>
        <w:rPr>
          <w:rFonts w:ascii="Times New Roman Tj" w:hAnsi="Times New Roman Tj"/>
          <w:b/>
          <w:spacing w:val="2"/>
          <w:sz w:val="28"/>
          <w:szCs w:val="28"/>
        </w:rPr>
      </w:pPr>
    </w:p>
    <w:p w:rsidR="00B01E51" w:rsidRDefault="00B01E51" w:rsidP="00B01E51">
      <w:pPr>
        <w:spacing w:after="0" w:line="240" w:lineRule="auto"/>
        <w:jc w:val="center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III. СТАТУС И ПОЛНОМОЧИЯ</w:t>
      </w:r>
    </w:p>
    <w:p w:rsidR="00B01E51" w:rsidRDefault="00B01E51" w:rsidP="00B01E51">
      <w:pPr>
        <w:spacing w:after="0" w:line="240" w:lineRule="auto"/>
        <w:jc w:val="center"/>
        <w:rPr>
          <w:rFonts w:ascii="Times New Roman Tj" w:hAnsi="Times New Roman Tj"/>
          <w:b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МЕЖДУНАРОДНЫХ НАБЛЮДАТЕЛЕЙ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9. Международные наблюдатели осуществляют свою деятельность свободно. Материальное и финансовое обеспечение деятельности международных наблюдателей осуществляется за счет направивших их стороны или за их личный счет.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10. Международные наблюдатели на территории Республики Таджикистан находятся под защитой Республики Таджикистан. Для обеспечения безопасности международных наблюдателей в период выборов, международные наблюдатели ставят в известность Центральную комиссию по выборам и референдумам Республики Таджикистан о маршруте движения.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11. Международные наблюдатели имеют право: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получать нормативные правовые акты и другие документы, регулирующие процесс выборов;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проводить официальные встречи с политическими партиями и  отдельными  кандидатами, участвующими в выборах;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находиться на избирательном участке или в помещении для голосования, в том числе в день голосования;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наблюдать за процессом голосования, подсчетом голосов и определением их результатов в условиях, которые позволяют вести наблюдение за подсчетом бюллетеней;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знакомиться с результатом рассмотрения жалоб (заявлений) и замечаний, связанных с нарушением законодательства о выборах;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 Tj" w:hAnsi="Times New Roman Tj"/>
          <w:spacing w:val="2"/>
          <w:sz w:val="28"/>
          <w:szCs w:val="28"/>
        </w:rPr>
        <w:lastRenderedPageBreak/>
        <w:t>- доводить до сведения представителей избирательных комиссий свои наблюдения без вмешательства в их работу;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заявлять открыто после окончания голосования свое мнение по подготовке и проведению выборов;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представлять свои выводы по наблюдению за ходом избирательного процесса в Центральную комиссию по выборам и референдумам.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12. Международные наблюдатели не имеют права: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находиться в кабине для голосования во время внесения избирателем отметок в избирательные бюллетени;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воздействовать на избирателей, распространять любую пропагандистскую продукцию или литературу;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заявлять о преимуществе политических партий, кандидатов в депутаты или порядке проведения выборов;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спрашивать у избирателей за кого они будут голосовать;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использовать в своем заключении обстоятельства, не обоснованные документально и не подлежащие проверке;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использовать свой статус для осуществления действий, не связанных с наблюдением за ходом выборов.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13. Международные наблюдатели обязаны: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соблюдать Конституцию, законы Республики Таджикистан и международные акты;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иметь при себе свидетельство об аккредитации в качестве международного наблюдателя и предъявлять его по требованию избирательной комиссии;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выполнять свои обязанности на основе принципов политического нейтралитета, беспристрастности, воздерживаться от заявлений каких - либо преимуществ, оценки избирательной комиссии, государственных органов и других органов, должностных лиц и других участников избирательного процесса;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не вмешиваться в избирательный процесс;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- делать выводы на основе наблюдения  и фактического  материала.</w:t>
      </w:r>
    </w:p>
    <w:p w:rsidR="00B01E51" w:rsidRDefault="00B01E51" w:rsidP="00B01E51">
      <w:pPr>
        <w:spacing w:after="0" w:line="240" w:lineRule="auto"/>
        <w:ind w:firstLine="567"/>
        <w:jc w:val="both"/>
        <w:rPr>
          <w:rFonts w:ascii="Times New Roman Tj" w:hAnsi="Times New Roman Tj"/>
          <w:spacing w:val="2"/>
          <w:sz w:val="28"/>
          <w:szCs w:val="28"/>
        </w:rPr>
      </w:pPr>
      <w:r>
        <w:rPr>
          <w:rFonts w:ascii="Times New Roman Tj" w:hAnsi="Times New Roman Tj"/>
          <w:spacing w:val="2"/>
          <w:sz w:val="28"/>
          <w:szCs w:val="28"/>
        </w:rPr>
        <w:t>14. Центральная комиссия по выборам и референдумам Республики Таджикистан аннулирует аккредитацию международных наблюдателей в случае нарушения ими законов Республики Таджикистан, принципов и общепризнанных международных правовых норм.</w:t>
      </w:r>
    </w:p>
    <w:p w:rsidR="00B01E51" w:rsidRDefault="00B01E51" w:rsidP="00B01E51">
      <w:pPr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</w:p>
    <w:p w:rsidR="00B01E51" w:rsidRDefault="00B01E51" w:rsidP="00B01E51">
      <w:pPr>
        <w:spacing w:after="0" w:line="240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B01E51" w:rsidRDefault="00B01E51" w:rsidP="00B01E51">
      <w:pPr>
        <w:spacing w:after="0" w:line="240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B01E51" w:rsidRDefault="00B01E51" w:rsidP="00B01E51">
      <w:pPr>
        <w:spacing w:after="0" w:line="264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B01E51" w:rsidRDefault="00B01E51" w:rsidP="00B01E51">
      <w:pPr>
        <w:spacing w:after="0" w:line="264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B01E51" w:rsidRDefault="00B01E51" w:rsidP="00B01E51">
      <w:pPr>
        <w:spacing w:after="0" w:line="264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B01E51" w:rsidRDefault="00B01E51" w:rsidP="00B01E51">
      <w:pPr>
        <w:spacing w:after="0" w:line="264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2E60C6" w:rsidRPr="00B01E51" w:rsidRDefault="002E60C6">
      <w:pPr>
        <w:rPr>
          <w:lang w:val="tg-Cyrl-TJ"/>
        </w:rPr>
      </w:pPr>
    </w:p>
    <w:sectPr w:rsidR="002E60C6" w:rsidRPr="00B01E51" w:rsidSect="002E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Tojik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E51"/>
    <w:rsid w:val="002E60C6"/>
    <w:rsid w:val="00354E5C"/>
    <w:rsid w:val="00633879"/>
    <w:rsid w:val="007C4193"/>
    <w:rsid w:val="00B01E51"/>
    <w:rsid w:val="00B041AD"/>
    <w:rsid w:val="00BA02D3"/>
    <w:rsid w:val="00E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51"/>
    <w:pPr>
      <w:spacing w:after="160" w:line="256" w:lineRule="auto"/>
    </w:pPr>
    <w:rPr>
      <w:rFonts w:asciiTheme="minorHAnsi" w:hAnsiTheme="minorHAnsi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Самадзода</dc:creator>
  <cp:lastModifiedBy>Пользователь</cp:lastModifiedBy>
  <cp:revision>2</cp:revision>
  <dcterms:created xsi:type="dcterms:W3CDTF">2025-01-09T07:08:00Z</dcterms:created>
  <dcterms:modified xsi:type="dcterms:W3CDTF">2025-01-09T07:32:00Z</dcterms:modified>
</cp:coreProperties>
</file>